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СОВЕТ</w:t>
      </w:r>
    </w:p>
    <w:p w:rsidR="00E63CF7" w:rsidRPr="002406CF" w:rsidRDefault="001E2558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УРУСОВСКОГО</w:t>
      </w:r>
      <w:r w:rsidR="00E63CF7"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РТИЩЕВСКОГО МУНИЦИПАЛЬНОГО РАЙОНА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САРАТОВСКОЙ ОБЛАСТИ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</w:p>
    <w:p w:rsidR="00E63CF7" w:rsidRPr="002406CF" w:rsidRDefault="002406CF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РЕШЕНИЕ 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 </w:t>
      </w:r>
    </w:p>
    <w:p w:rsidR="00E63CF7" w:rsidRPr="002406CF" w:rsidRDefault="001E2558" w:rsidP="002406C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о</w:t>
      </w:r>
      <w:r w:rsidR="00E63CF7"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т </w:t>
      </w: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 </w:t>
      </w:r>
      <w:r w:rsid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06 декабря</w:t>
      </w:r>
      <w:r w:rsidR="00E63CF7"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 2024 года </w:t>
      </w: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        </w:t>
      </w:r>
      <w:r w:rsidR="00E63CF7"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№</w:t>
      </w:r>
      <w:r w:rsid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 38</w:t>
      </w:r>
      <w:r w:rsidR="00E63CF7"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 </w:t>
      </w: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 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Об утверждении Положения о ведении</w:t>
      </w:r>
    </w:p>
    <w:p w:rsidR="00E63CF7" w:rsidRPr="002406CF" w:rsidRDefault="00E63CF7" w:rsidP="002406C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реестра муниципального имущества</w:t>
      </w:r>
    </w:p>
    <w:p w:rsidR="00E63CF7" w:rsidRPr="002406CF" w:rsidRDefault="001E2558" w:rsidP="002406C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Урусовского</w:t>
      </w:r>
      <w:r w:rsidR="00E63CF7"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 xml:space="preserve"> муниципального образования</w:t>
      </w:r>
    </w:p>
    <w:p w:rsidR="00E63CF7" w:rsidRPr="002406CF" w:rsidRDefault="00E63CF7" w:rsidP="002406C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Ртищевского муниципального района</w:t>
      </w:r>
    </w:p>
    <w:p w:rsidR="00E63CF7" w:rsidRPr="002406CF" w:rsidRDefault="00E63CF7" w:rsidP="002406C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7"/>
          <w:sz w:val="28"/>
          <w:szCs w:val="28"/>
          <w:lang w:eastAsia="ru-RU"/>
        </w:rPr>
        <w:t>Саратовской области</w:t>
      </w:r>
    </w:p>
    <w:p w:rsidR="00E63CF7" w:rsidRPr="002406CF" w:rsidRDefault="00E63CF7" w:rsidP="002406C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В соответствии с Федеральным законом от 06.10.2003 № 131-ФЗ «Об общих принципах организации местного самоуправления в Российской Федерации», на основании Приказа Минфина России от 10.10.2023 № 163н «Об утверждении Порядка ведения органами местного самоуправления реестров муниципального имущества», </w:t>
      </w:r>
      <w:hyperlink r:id="rId5" w:tgtFrame="_blank" w:history="1">
        <w:r w:rsidRPr="002406CF">
          <w:rPr>
            <w:rFonts w:ascii="PT Astra Serif" w:eastAsia="Times New Roman" w:hAnsi="PT Astra Serif" w:cs="Arial"/>
            <w:spacing w:val="-7"/>
            <w:sz w:val="28"/>
            <w:szCs w:val="28"/>
            <w:lang w:eastAsia="ru-RU"/>
          </w:rPr>
          <w:t xml:space="preserve">Уставом </w:t>
        </w:r>
        <w:r w:rsidR="001E2558" w:rsidRPr="002406CF">
          <w:rPr>
            <w:rFonts w:ascii="PT Astra Serif" w:eastAsia="Times New Roman" w:hAnsi="PT Astra Serif" w:cs="Arial"/>
            <w:spacing w:val="-7"/>
            <w:sz w:val="28"/>
            <w:szCs w:val="28"/>
            <w:lang w:eastAsia="ru-RU"/>
          </w:rPr>
          <w:t>Урусовского</w:t>
        </w:r>
        <w:r w:rsidRPr="002406CF">
          <w:rPr>
            <w:rFonts w:ascii="PT Astra Serif" w:eastAsia="Times New Roman" w:hAnsi="PT Astra Serif" w:cs="Arial"/>
            <w:spacing w:val="-7"/>
            <w:sz w:val="28"/>
            <w:szCs w:val="28"/>
            <w:lang w:eastAsia="ru-RU"/>
          </w:rPr>
          <w:t xml:space="preserve"> муниципального образования</w:t>
        </w:r>
      </w:hyperlink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 Ртищевского муниципального района Саратовской области</w:t>
      </w:r>
      <w:proofErr w:type="gramStart"/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 </w:t>
      </w:r>
      <w:r w:rsidR="001E2558"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,</w:t>
      </w:r>
      <w:proofErr w:type="gramEnd"/>
      <w:r w:rsidR="001E2558"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 xml:space="preserve"> </w:t>
      </w: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 xml:space="preserve">Совет </w:t>
      </w:r>
      <w:r w:rsidR="001E2558"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Урусовского</w:t>
      </w: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 xml:space="preserve"> муниципального образования Ртищевского муниципального района Саратовской области </w:t>
      </w: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5"/>
          <w:sz w:val="28"/>
          <w:szCs w:val="28"/>
          <w:lang w:eastAsia="ru-RU"/>
        </w:rPr>
        <w:t>1.</w:t>
      </w:r>
      <w:r w:rsidRPr="002406CF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 Утвердить Положение о ведении реестра 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имущества </w:t>
      </w:r>
      <w:r w:rsidR="001E255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Урусовского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Ртищевского муниципального района Саратовской области </w:t>
      </w:r>
      <w:r w:rsidR="00D2319A" w:rsidRPr="002406C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согласно приложению</w:t>
      </w:r>
      <w:r w:rsidRPr="002406C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 xml:space="preserve"> к настоящему </w:t>
      </w:r>
      <w:r w:rsidRPr="002406CF">
        <w:rPr>
          <w:rFonts w:ascii="PT Astra Serif" w:eastAsia="Times New Roman" w:hAnsi="PT Astra Serif" w:cs="Arial"/>
          <w:bCs/>
          <w:iCs/>
          <w:spacing w:val="-2"/>
          <w:sz w:val="28"/>
          <w:szCs w:val="28"/>
          <w:lang w:eastAsia="ru-RU"/>
        </w:rPr>
        <w:t>решению</w:t>
      </w:r>
      <w:r w:rsidRPr="002406CF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.</w:t>
      </w:r>
      <w:r w:rsidR="00D2319A" w:rsidRPr="002406CF">
        <w:rPr>
          <w:rFonts w:ascii="PT Astra Serif" w:eastAsia="Times New Roman" w:hAnsi="PT Astra Serif" w:cs="Arial"/>
          <w:bCs/>
          <w:spacing w:val="-2"/>
          <w:sz w:val="28"/>
          <w:szCs w:val="28"/>
          <w:lang w:eastAsia="ru-RU"/>
        </w:rPr>
        <w:t xml:space="preserve"> </w:t>
      </w:r>
    </w:p>
    <w:p w:rsidR="00E63CF7" w:rsidRPr="002406CF" w:rsidRDefault="00D2319A" w:rsidP="002406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</w:t>
      </w:r>
      <w:r w:rsidR="00E63CF7" w:rsidRPr="002406C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Настоящее </w:t>
      </w:r>
      <w:r w:rsidR="00E63CF7"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решение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обнародовать в установленном порядке </w:t>
      </w:r>
      <w:r w:rsidR="003B5CA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406CF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9 декабря 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года и разместить на официальном сайте администрации </w:t>
      </w:r>
      <w:r w:rsidR="001E255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Урусовского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в информационно-телекоммуникационной сети «Интернет».</w:t>
      </w:r>
    </w:p>
    <w:p w:rsidR="00E63CF7" w:rsidRPr="002406CF" w:rsidRDefault="002406CF" w:rsidP="002406C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</w:t>
      </w:r>
      <w:r w:rsidR="00E63CF7" w:rsidRPr="002406C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Настоящее </w:t>
      </w:r>
      <w:r w:rsidR="00E63CF7"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решение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вступает в силу со дня его обнародования.</w:t>
      </w:r>
    </w:p>
    <w:p w:rsidR="00E63CF7" w:rsidRPr="002406CF" w:rsidRDefault="002406CF" w:rsidP="002406C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="00E63CF7" w:rsidRPr="002406C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.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proofErr w:type="gramStart"/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исполнением настоящего </w:t>
      </w:r>
      <w:r w:rsidR="001E2558"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решения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оставляю за собой.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1E2558" w:rsidRPr="002406CF" w:rsidRDefault="001E2558" w:rsidP="002406C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Глава</w:t>
      </w:r>
      <w:r w:rsidR="00E63CF7"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Урусовского</w:t>
      </w:r>
    </w:p>
    <w:p w:rsidR="00E63CF7" w:rsidRPr="002406CF" w:rsidRDefault="001E2558" w:rsidP="00240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</w:t>
      </w:r>
      <w:r w:rsidR="00E63CF7"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муниципального бразования                                             </w:t>
      </w:r>
      <w:r w:rsidR="00A94E42"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Н.В.Демьянова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1E255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A94E42" w:rsidRPr="002406CF" w:rsidRDefault="00E63CF7" w:rsidP="002406CF">
      <w:pPr>
        <w:spacing w:after="0" w:line="240" w:lineRule="auto"/>
        <w:ind w:left="5812"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06CF">
        <w:rPr>
          <w:rFonts w:ascii="Arial" w:eastAsia="Times New Roman" w:hAnsi="Arial" w:cs="Arial"/>
          <w:lang w:eastAsia="ru-RU"/>
        </w:rPr>
        <w:br w:type="textWrapping" w:clear="all"/>
      </w:r>
    </w:p>
    <w:p w:rsidR="00A94E42" w:rsidRPr="002406CF" w:rsidRDefault="00A94E42" w:rsidP="002406CF">
      <w:pPr>
        <w:spacing w:after="0" w:line="240" w:lineRule="auto"/>
        <w:ind w:left="5812"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2319A" w:rsidRPr="002406CF" w:rsidRDefault="00D2319A" w:rsidP="002406CF">
      <w:pPr>
        <w:spacing w:after="0" w:line="240" w:lineRule="auto"/>
        <w:ind w:left="5812"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2319A" w:rsidRPr="002406CF" w:rsidRDefault="00D2319A" w:rsidP="002406CF">
      <w:pPr>
        <w:spacing w:after="0" w:line="240" w:lineRule="auto"/>
        <w:ind w:left="5812"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2319A" w:rsidRPr="002406CF" w:rsidRDefault="00D2319A" w:rsidP="002406CF">
      <w:pPr>
        <w:spacing w:after="0" w:line="240" w:lineRule="auto"/>
        <w:ind w:left="5812"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94E42" w:rsidRPr="002406CF" w:rsidRDefault="00A94E42" w:rsidP="002406CF">
      <w:pPr>
        <w:spacing w:after="0" w:line="240" w:lineRule="auto"/>
        <w:ind w:left="5812"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63CF7" w:rsidRPr="002406CF" w:rsidRDefault="00E63CF7" w:rsidP="002406CF">
      <w:pPr>
        <w:spacing w:after="0" w:line="240" w:lineRule="auto"/>
        <w:ind w:left="4248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Приложение к </w:t>
      </w:r>
      <w:r w:rsidRPr="002406CF">
        <w:rPr>
          <w:rFonts w:ascii="PT Astra Serif" w:eastAsia="Times New Roman" w:hAnsi="PT Astra Serif" w:cs="Arial"/>
          <w:bCs/>
          <w:iCs/>
          <w:sz w:val="26"/>
          <w:szCs w:val="26"/>
          <w:lang w:eastAsia="ru-RU"/>
        </w:rPr>
        <w:t>решению</w:t>
      </w:r>
    </w:p>
    <w:p w:rsidR="00E63CF7" w:rsidRPr="002406CF" w:rsidRDefault="00E63CF7" w:rsidP="002406CF">
      <w:pPr>
        <w:spacing w:after="0" w:line="240" w:lineRule="auto"/>
        <w:ind w:left="4248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Совета </w:t>
      </w:r>
      <w:r w:rsidR="001E2558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>Урусовского</w:t>
      </w:r>
    </w:p>
    <w:p w:rsidR="00E63CF7" w:rsidRPr="002406CF" w:rsidRDefault="00A94E42" w:rsidP="002406CF">
      <w:pPr>
        <w:spacing w:after="0" w:line="240" w:lineRule="auto"/>
        <w:ind w:left="481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>м</w:t>
      </w:r>
      <w:r w:rsidR="00E63CF7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>униципального</w:t>
      </w:r>
      <w:r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</w:t>
      </w:r>
      <w:r w:rsidR="00E63CF7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>образования</w:t>
      </w:r>
    </w:p>
    <w:p w:rsidR="00E63CF7" w:rsidRPr="002406CF" w:rsidRDefault="00A94E42" w:rsidP="002406CF">
      <w:pPr>
        <w:spacing w:after="0" w:line="240" w:lineRule="auto"/>
        <w:ind w:left="467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</w:t>
      </w:r>
      <w:r w:rsidR="00E63CF7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>от </w:t>
      </w:r>
      <w:r w:rsidR="003B5CA8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06 декабря </w:t>
      </w:r>
      <w:r w:rsidR="00E63CF7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 2024 года </w:t>
      </w:r>
      <w:r w:rsid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E63CF7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>№</w:t>
      </w:r>
      <w:r w:rsidR="002406CF">
        <w:rPr>
          <w:rFonts w:ascii="PT Astra Serif" w:eastAsia="Times New Roman" w:hAnsi="PT Astra Serif" w:cs="Arial"/>
          <w:sz w:val="26"/>
          <w:szCs w:val="26"/>
          <w:lang w:eastAsia="ru-RU"/>
        </w:rPr>
        <w:t>38</w:t>
      </w:r>
      <w:r w:rsidR="00E63CF7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> </w:t>
      </w:r>
      <w:r w:rsidR="003B5CA8" w:rsidRPr="002406CF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5"/>
          <w:sz w:val="28"/>
          <w:szCs w:val="28"/>
          <w:lang w:eastAsia="ru-RU"/>
        </w:rPr>
        <w:t>Положение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pacing w:val="-5"/>
          <w:sz w:val="28"/>
          <w:szCs w:val="28"/>
          <w:lang w:eastAsia="ru-RU"/>
        </w:rPr>
        <w:t>о ведении реестра </w:t>
      </w: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муниципального имущества </w:t>
      </w:r>
      <w:r w:rsidR="001E2558"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Урусовского </w:t>
      </w: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муниципального образования Ртищевского муниципального района Саратовской области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 Общие положения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1.1. 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 </w:t>
      </w: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Приказа Минфина России от 10.10.2023 № 163н «Об утверждении Порядка ведения органами местного самоуправления реестров муниципального имущества»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1.2. 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Настоящее Положение устанавливает правила ведения администрацией </w:t>
      </w:r>
      <w:r w:rsidR="001E255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Урусовского 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Ртищевского муниципального района Саратовской области (далее – уполномоченный орган) реестра 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 информации о муниципальном имуществе.</w:t>
      </w:r>
      <w:proofErr w:type="gramEnd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1.3. Реестр ведется на бумажных и электронных носителях. Способ ведения реестра определяется уполномоченным органом самостоятельно.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Реестр должен 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Документы реестра хранятся в соответствии с Федеральным законом от 22.10.2004 № 125-ФЗ «Об архивном деле в Российской Федерации».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1.4. Ведение реестра осуществляется администрацией </w:t>
      </w:r>
      <w:r w:rsidR="001E255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Урусовского 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Ртищевского муниципального района Саратовской области.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Администрация </w:t>
      </w:r>
      <w:r w:rsidR="001E255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Урусовского 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Ртищевского муниципального района Саратовской области обязана: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 обеспечивать соблюдение правил ведения реестра и требований, предъявляемых к системе ведения реестра;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- осуществлять информационно-справочное обслуживание, выдавать выписки из реестров.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2. Объекты учета муниципальной собственности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2.1. 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недвижимые вещи (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земельный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участок или прочно связанный с землей объект, перемещение которого без несоразмерного ущерба его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назначению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машино</w:t>
      </w:r>
      <w:proofErr w:type="spell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 стоимость которого составляет 100 000 рублей и более;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2.2. 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 со статьей 9 Закона Российской Федерации от 21.07.1993 года № 5485-1 «О государственной тайне» к государственной тайне, самостоятельно</w:t>
      </w:r>
      <w:r w:rsidRPr="002406CF">
        <w:rPr>
          <w:rFonts w:ascii="PT Astra Serif" w:eastAsia="Times New Roman" w:hAnsi="PT Astra Serif" w:cs="Arial"/>
          <w:spacing w:val="-7"/>
          <w:sz w:val="28"/>
          <w:szCs w:val="28"/>
          <w:lang w:eastAsia="ru-RU"/>
        </w:rPr>
        <w:t>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3. Порядок формирования и ведения реестра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 самостоятельно.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3.2. Документом, подтверждающим факт учета муниципального имущества в реестре, является выписка из реестра, содержащая номер и дату присвоения реестрового номера и иные достаточные для 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идентификации муниципального имущества сведения по их состоянию в реестре на дату выдачи выписки из него (далее - выписка из реестра).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Образец выписки из реестра приведен в приложении № 1 к настоящему Положению.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3.3.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3.4. Неотъемлемой частью реестра являются: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3.5 Реестр состоит из 3 разделов.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3.6. </w:t>
      </w: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раздел 1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вносятся сведения о недвижимом имуществе.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подраздел 1.1 раздела 1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реестра вносятся сведения о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земельных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участках,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наименование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адрес (местоположение)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 с указанием кода Общероссийского классификатора территорий муниципальных образований (далее - ОКТМО);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кадастровый номер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 (с датой присвоения);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 постановки на учет (далее - КПП) (для юридического лица), 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основной 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(месту пребывания) (для физических лиц) (с указанием кода ОКТМО) (далее - сведения о правообладателе);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земельный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основных характеристиках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участка, в том числе: площадь, категория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, вид разрешенного использования;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стоимости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произведенном улучшении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в отношении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земельного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) (далее - 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подраздел 1.2 раздела 1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наименование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назначение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земельном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участке, на котором расположен объект учета (кадастровый номер, форма собственности, площадь);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инвентарный номер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стоимости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земельном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участке, на котором расположено здание, сооружение;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подраздел 1.3 раздела 1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реестра вносятся сведения о помещениях, </w:t>
      </w:r>
      <w:proofErr w:type="spell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машино</w:t>
      </w:r>
      <w:proofErr w:type="spell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наименование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назначение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инвентарный номер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стоимости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lastRenderedPageBreak/>
        <w:t>В подраздел 1.4 раздела 1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реестра вносятся сведения о воздушных и морских судах, судах внутреннего плавания,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наименование 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назначение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объекта учета;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регистрационный номер (с датой присвоения);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стоимости судна;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сведения о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произведенных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ремонте, модернизации судна;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раздел 2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вносятся сведения о движимом и ином имуществе.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подраздел 2.1 раздела 2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реестра вносятся сведения об акциях,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подраздел 2.2 раздела 2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вносятся сведения о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долях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(вкладах) в уставных (складочных) капиталах хозяйственных обществ и товариществ,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доля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(вклад) в уставном (складочном) капитале хозяйственного общества, товарищества в процентах;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подраздел 2.3 раздела 2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вносятся сведения о движимом имуществе и ином имуществе, за исключением акций и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долей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(вкладов) в уставных (складочных) капиталах хозяйственных обществ и товариществ,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наименование движимого имущества (иного имущества);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стоимости;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В подраздел 2.4 раздела 2 вносятся сведения о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долях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 праве общей долевой собственности на объекты недвижимого и (или) движимого имущества,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размер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доли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 праве общей долевой собственности на объекты недвижимого и (или) движимого имущества;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стоимости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доли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об установленных в отношении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доли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 раздел 3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вносятся сведения о лицах, обладающих правами на муниципальное имущество и сведениями о нем, в том числе: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сведения о правообладателях;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иные сведения (при необходимости).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4. Порядок учета муниципального имущества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bookmarkStart w:id="0" w:name="p2"/>
      <w:bookmarkEnd w:id="0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4.1.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4.2.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4.3.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  <w:bookmarkStart w:id="1" w:name="p6"/>
      <w:bookmarkEnd w:id="1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4.4. В случае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 в абзаце первом настоящего пункта, в отношении каждого объекта учета.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4.5.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4.6. Сведения об объекте учета, заявления и документы, указанные в пунктах 4.1-4.4 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подписи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решений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  <w:bookmarkStart w:id="2" w:name="p15"/>
      <w:bookmarkEnd w:id="2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установлены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 органов местного самоуправления.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 случае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принятия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уполномоченным органом </w:t>
      </w:r>
      <w:r w:rsidR="001E2558"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решения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, предусмотренного подпунктом «в»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bookmarkStart w:id="3" w:name="p19"/>
      <w:bookmarkEnd w:id="3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4.9.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4.10.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принятии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, осуществляется уполномоченным органом в порядке, установленном пунктом 4.1 -4.9 настоящего Положения.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4.11. Порядок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принятия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решений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, предусмотренных настоящим Положением, и сроки рассмотрения документов, если иное не предусмотрено настоящим Положением, определяются уполномоченным органом самостоятельно.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4.12. Заявления, обращение и требования, предусмотренные настоящим Положением, направляются в порядке и по формам, определяемым уполномоченным органом самостоятельно.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5. Предоставление информации из реестра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5.1.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в 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Уполномоченный орган вправе 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предоставлять документы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 </w:t>
      </w:r>
      <w:r w:rsidR="00FE40D1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406CF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решением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Совета </w:t>
      </w:r>
      <w:r w:rsidR="001E2558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Урусовского </w:t>
      </w: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Ртищевского муниципального района Саратовской области, за исключением случаев предоставления информации безвозмездно в порядке, предусмотренном пунктом 5.3 настоящего Положения.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приложением №2 к настоящему Положению.</w:t>
      </w:r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  <w:bookmarkStart w:id="4" w:name="p9"/>
      <w:bookmarkEnd w:id="4"/>
    </w:p>
    <w:p w:rsidR="00E63CF7" w:rsidRPr="002406CF" w:rsidRDefault="00E63CF7" w:rsidP="002406C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5.3. </w:t>
      </w: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Уполномоченный орган 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FE40D1" w:rsidRPr="002406CF" w:rsidRDefault="00E63CF7" w:rsidP="002406CF">
      <w:pPr>
        <w:spacing w:after="0" w:line="240" w:lineRule="auto"/>
        <w:ind w:left="3686" w:firstLine="567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06CF">
        <w:rPr>
          <w:rFonts w:ascii="Arial" w:eastAsia="Times New Roman" w:hAnsi="Arial" w:cs="Arial"/>
          <w:lang w:eastAsia="ru-RU"/>
        </w:rPr>
        <w:br w:type="textWrapping" w:clear="all"/>
      </w:r>
    </w:p>
    <w:p w:rsidR="00FE40D1" w:rsidRDefault="00FE40D1" w:rsidP="002406CF">
      <w:pPr>
        <w:spacing w:after="0" w:line="240" w:lineRule="auto"/>
        <w:ind w:left="3686" w:firstLine="567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406CF" w:rsidRDefault="002406CF" w:rsidP="002406CF">
      <w:pPr>
        <w:spacing w:after="0" w:line="240" w:lineRule="auto"/>
        <w:ind w:left="3686" w:firstLine="567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406CF" w:rsidRPr="002406CF" w:rsidRDefault="002406CF" w:rsidP="002406CF">
      <w:pPr>
        <w:spacing w:after="0" w:line="240" w:lineRule="auto"/>
        <w:ind w:left="3686" w:firstLine="567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5" w:name="_GoBack"/>
      <w:bookmarkEnd w:id="5"/>
    </w:p>
    <w:p w:rsidR="00E63CF7" w:rsidRPr="002406CF" w:rsidRDefault="00E63CF7" w:rsidP="002406CF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Приложение № 1 к Положению</w:t>
      </w:r>
    </w:p>
    <w:p w:rsidR="00E63CF7" w:rsidRPr="002406CF" w:rsidRDefault="00E63CF7" w:rsidP="002406CF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о ведении реестра муниципального имущества</w:t>
      </w:r>
    </w:p>
    <w:p w:rsidR="00E63CF7" w:rsidRPr="002406CF" w:rsidRDefault="001E2558" w:rsidP="002406CF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Урусовского </w:t>
      </w:r>
      <w:r w:rsidR="00E63CF7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</w:p>
    <w:p w:rsidR="00E63CF7" w:rsidRPr="002406CF" w:rsidRDefault="00E63CF7" w:rsidP="002406CF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Ртищевского муниципального района</w:t>
      </w:r>
    </w:p>
    <w:p w:rsidR="00E63CF7" w:rsidRPr="002406CF" w:rsidRDefault="00E63CF7" w:rsidP="002406CF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Саратовской области</w:t>
      </w:r>
    </w:p>
    <w:p w:rsidR="00E63CF7" w:rsidRPr="002406CF" w:rsidRDefault="00E63CF7" w:rsidP="002406CF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Образец выписки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ВЫПИСКА № ___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из реестра муниципального имущества об объекте учета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муниципального имущества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на «___» _________ 20 ___ г.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Орган местного самоуправления, уполномоченный на ведение реестра муниципального имущества _______________________________________________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органа местного самоуправления, уполномоченного на ведение</w:t>
      </w:r>
      <w:proofErr w:type="gramEnd"/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реестра муниципального имущества)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Заявитель ______________________________________________________________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 Сведения об объекте муниципального имущества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Вид и наименование объекта учета _________________________________________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tbl>
      <w:tblPr>
        <w:tblW w:w="9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914"/>
        <w:gridCol w:w="780"/>
        <w:gridCol w:w="2551"/>
        <w:gridCol w:w="1915"/>
      </w:tblGrid>
      <w:tr w:rsidR="002406CF" w:rsidRPr="002406CF" w:rsidTr="00E63CF7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406CF" w:rsidRPr="002406CF" w:rsidTr="00E63CF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2406CF" w:rsidRPr="002406CF" w:rsidTr="00E63CF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2C151B" w:rsidRPr="002406CF" w:rsidRDefault="002C151B" w:rsidP="002406CF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2C151B" w:rsidRPr="002406CF" w:rsidRDefault="002C151B" w:rsidP="002406CF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2C151B" w:rsidRPr="002406CF" w:rsidRDefault="002C151B" w:rsidP="002406CF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2C151B" w:rsidRPr="002406CF" w:rsidRDefault="002C151B" w:rsidP="002406CF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lastRenderedPageBreak/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2. Информация об изменении сведений об объекте учета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муниципального имущества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06CF" w:rsidRPr="002406CF" w:rsidTr="00E63CF7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2406CF" w:rsidRPr="002406CF" w:rsidTr="00E63CF7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F7" w:rsidRPr="002406CF" w:rsidRDefault="00E63CF7" w:rsidP="0024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ОТМЕТКА О ПОДТВЕРЖДЕНИИ СВЕДЕНИЙ,</w:t>
      </w:r>
    </w:p>
    <w:p w:rsidR="00E63CF7" w:rsidRPr="002406CF" w:rsidRDefault="00E63CF7" w:rsidP="002406CF">
      <w:pPr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СОДЕРЖАЩИХСЯ</w:t>
      </w:r>
      <w:proofErr w:type="gramEnd"/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НАСТОЯЩЕЙ ВЫПИСКЕ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Ответственный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исполнитель                                          _____________              ____________              ________________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                                                                (должность)                     (подпись)                           (расшифровка)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«_____» __________ 20 ____ г.</w:t>
      </w:r>
    </w:p>
    <w:p w:rsidR="00E63CF7" w:rsidRPr="002406CF" w:rsidRDefault="00E63CF7" w:rsidP="002406CF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63CF7" w:rsidRPr="002406CF" w:rsidRDefault="00E63CF7" w:rsidP="002406CF">
      <w:pPr>
        <w:spacing w:after="0" w:line="240" w:lineRule="auto"/>
        <w:ind w:left="3686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406CF">
        <w:rPr>
          <w:rFonts w:ascii="Arial" w:eastAsia="Times New Roman" w:hAnsi="Arial" w:cs="Arial"/>
          <w:lang w:eastAsia="ru-RU"/>
        </w:rPr>
        <w:br w:type="textWrapping" w:clear="all"/>
      </w:r>
      <w:r w:rsidR="002C151B" w:rsidRPr="002406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276142" w:rsidRPr="002406CF" w:rsidRDefault="00276142" w:rsidP="002406CF">
      <w:pPr>
        <w:rPr>
          <w:sz w:val="24"/>
          <w:szCs w:val="24"/>
        </w:rPr>
      </w:pPr>
    </w:p>
    <w:sectPr w:rsidR="00276142" w:rsidRPr="002406CF" w:rsidSect="002C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F7"/>
    <w:rsid w:val="001E2558"/>
    <w:rsid w:val="002406CF"/>
    <w:rsid w:val="00276142"/>
    <w:rsid w:val="002C151B"/>
    <w:rsid w:val="003B5CA8"/>
    <w:rsid w:val="004E14B5"/>
    <w:rsid w:val="00803011"/>
    <w:rsid w:val="00A94E42"/>
    <w:rsid w:val="00D2319A"/>
    <w:rsid w:val="00DD141F"/>
    <w:rsid w:val="00E63CF7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3CF7"/>
  </w:style>
  <w:style w:type="paragraph" w:customStyle="1" w:styleId="nospacing">
    <w:name w:val="nospacing"/>
    <w:basedOn w:val="a"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63CF7"/>
    <w:rPr>
      <w:i/>
      <w:iCs/>
    </w:rPr>
  </w:style>
  <w:style w:type="character" w:styleId="a4">
    <w:name w:val="Hyperlink"/>
    <w:basedOn w:val="a0"/>
    <w:uiPriority w:val="99"/>
    <w:semiHidden/>
    <w:unhideWhenUsed/>
    <w:rsid w:val="00E63C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3CF7"/>
    <w:rPr>
      <w:color w:val="800080"/>
      <w:u w:val="single"/>
    </w:rPr>
  </w:style>
  <w:style w:type="character" w:customStyle="1" w:styleId="10">
    <w:name w:val="Гиперссылка1"/>
    <w:basedOn w:val="a0"/>
    <w:rsid w:val="00E63CF7"/>
  </w:style>
  <w:style w:type="paragraph" w:styleId="a6">
    <w:name w:val="Normal (Web)"/>
    <w:basedOn w:val="a"/>
    <w:uiPriority w:val="99"/>
    <w:semiHidden/>
    <w:unhideWhenUsed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0">
    <w:name w:val="footer0"/>
    <w:basedOn w:val="a"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3CF7"/>
  </w:style>
  <w:style w:type="paragraph" w:customStyle="1" w:styleId="nospacing">
    <w:name w:val="nospacing"/>
    <w:basedOn w:val="a"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63CF7"/>
    <w:rPr>
      <w:i/>
      <w:iCs/>
    </w:rPr>
  </w:style>
  <w:style w:type="character" w:styleId="a4">
    <w:name w:val="Hyperlink"/>
    <w:basedOn w:val="a0"/>
    <w:uiPriority w:val="99"/>
    <w:semiHidden/>
    <w:unhideWhenUsed/>
    <w:rsid w:val="00E63C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3CF7"/>
    <w:rPr>
      <w:color w:val="800080"/>
      <w:u w:val="single"/>
    </w:rPr>
  </w:style>
  <w:style w:type="character" w:customStyle="1" w:styleId="10">
    <w:name w:val="Гиперссылка1"/>
    <w:basedOn w:val="a0"/>
    <w:rsid w:val="00E63CF7"/>
  </w:style>
  <w:style w:type="paragraph" w:styleId="a6">
    <w:name w:val="Normal (Web)"/>
    <w:basedOn w:val="a"/>
    <w:uiPriority w:val="99"/>
    <w:semiHidden/>
    <w:unhideWhenUsed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0">
    <w:name w:val="footer0"/>
    <w:basedOn w:val="a"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E6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22797AB-8A78-4E73-905A-87BA221464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urusovskoe-mo</dc:creator>
  <cp:lastModifiedBy>urusovskoe-mo</cp:lastModifiedBy>
  <cp:revision>7</cp:revision>
  <cp:lastPrinted>2024-12-05T09:56:00Z</cp:lastPrinted>
  <dcterms:created xsi:type="dcterms:W3CDTF">2024-11-11T06:44:00Z</dcterms:created>
  <dcterms:modified xsi:type="dcterms:W3CDTF">2024-12-05T10:00:00Z</dcterms:modified>
</cp:coreProperties>
</file>